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F7" w:rsidRPr="00C66264" w:rsidRDefault="00D01BF7" w:rsidP="00C66264">
      <w:pPr>
        <w:spacing w:line="360" w:lineRule="auto"/>
        <w:jc w:val="both"/>
        <w:rPr>
          <w:rFonts w:ascii="Times New Roman" w:hAnsi="Times New Roman" w:cs="Times New Roman"/>
          <w:b/>
          <w:sz w:val="24"/>
          <w:szCs w:val="24"/>
        </w:rPr>
      </w:pPr>
      <w:r w:rsidRPr="00C66264">
        <w:rPr>
          <w:rFonts w:ascii="Times New Roman" w:hAnsi="Times New Roman" w:cs="Times New Roman"/>
          <w:b/>
          <w:sz w:val="24"/>
          <w:szCs w:val="24"/>
        </w:rPr>
        <w:t>Platforma udostępniania on-line przedsiębiorcom usług i zasobów cyfrowych rejestrów medycznych (P2)</w:t>
      </w:r>
    </w:p>
    <w:p w:rsidR="00D01BF7" w:rsidRDefault="00D01BF7" w:rsidP="00C66264">
      <w:pPr>
        <w:spacing w:after="0" w:line="360" w:lineRule="auto"/>
        <w:jc w:val="both"/>
        <w:rPr>
          <w:rFonts w:ascii="Times New Roman" w:hAnsi="Times New Roman" w:cs="Times New Roman"/>
        </w:rPr>
      </w:pPr>
      <w:r w:rsidRPr="00F21AD9">
        <w:rPr>
          <w:rFonts w:ascii="Times New Roman" w:hAnsi="Times New Roman" w:cs="Times New Roman"/>
        </w:rPr>
        <w:t>Aktualnie na Platformie P2 znajdują się poniższe</w:t>
      </w:r>
      <w:r>
        <w:rPr>
          <w:rFonts w:ascii="Times New Roman" w:hAnsi="Times New Roman" w:cs="Times New Roman"/>
        </w:rPr>
        <w:t xml:space="preserve"> rejestry:</w:t>
      </w:r>
    </w:p>
    <w:p w:rsidR="00D01BF7" w:rsidRPr="00F21AD9"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Aptek (RA)</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Krajowy Rejestr Zezwoleń na Prowadzenie Aptek Ogólnodostępnych, Punktów Aptecznych oraz Rejestr Udzielonych Zgód na Prowadzenie Aptek Szpitalnych i Zakładowych zwany w skrócie Rejestrem Aptek prowadzony jest przez właściwe miejscowo Wojewódzkie Inspektoraty Farmaceutyczne zgodnie z art. 107 ustawy Prawo farmaceutyczne oraz rozporządzeniem Ministra Zdrowia z dnia 6 listopada 2012 r. w sprawie opisu systemu teleinformatycznego, w którym prowadzony jest Krajowy Rejestr Zezwoleń na Prowadzenie Aptek Ogólnodostępnych, Punktów Aptecznych oraz Rejestr Udzielonych Zgód na Prowadzenie Aptek Szpitalnych i Zakładowych</w:t>
      </w:r>
    </w:p>
    <w:p w:rsidR="00D01BF7" w:rsidRPr="00105548" w:rsidRDefault="00D01BF7" w:rsidP="00C66264">
      <w:pPr>
        <w:spacing w:after="0" w:line="360" w:lineRule="auto"/>
        <w:jc w:val="both"/>
        <w:rPr>
          <w:rFonts w:ascii="Times New Roman" w:hAnsi="Times New Roman" w:cs="Times New Roman"/>
          <w:b/>
        </w:rPr>
      </w:pPr>
      <w:r>
        <w:rPr>
          <w:rFonts w:ascii="Times New Roman" w:hAnsi="Times New Roman" w:cs="Times New Roman"/>
          <w:b/>
        </w:rPr>
        <w:t>Rejestr zapewnia następujące minimalne funkcjonalności</w:t>
      </w:r>
      <w:r w:rsidRPr="00105548">
        <w:rPr>
          <w:rFonts w:ascii="Times New Roman" w:hAnsi="Times New Roman" w:cs="Times New Roman"/>
          <w:b/>
        </w:rPr>
        <w:t>:</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gromadzenie danych dotyczących zezwoleń na prowadzenie aptek ogólnodostępnych, punktów aptecznych, zgód na prowadzenie aptek szpitalnych, zakładowych i działów farmacji szpitalnej, a także dotyczących podmiotów, którym zostało wydane zezwolenie lub zgoda;</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możliwość złożenia wniosku o wydanie lub zmianę zezwolenia na prowadzenie apteki ogólnodostępnej, punktu aptecznego lub o wydanie lub zmianę zgody na prowadzenie apteki szpitalnej, zakładowej lub działu farmacji szpitalnej w postaci dokumentu elektronicznego, za pośrednictwem elektronicznej platformy usług administracji publicznej, zwanej dalej „</w:t>
      </w:r>
      <w:proofErr w:type="spellStart"/>
      <w:r w:rsidRPr="008B27C6">
        <w:rPr>
          <w:rFonts w:ascii="Times New Roman" w:hAnsi="Times New Roman"/>
        </w:rPr>
        <w:t>ePUAP</w:t>
      </w:r>
      <w:proofErr w:type="spellEnd"/>
      <w:r w:rsidRPr="008B27C6">
        <w:rPr>
          <w:rFonts w:ascii="Times New Roman" w:hAnsi="Times New Roman"/>
        </w:rPr>
        <w:t xml:space="preserve">” i formularza elektronicznego umieszczonego na ESP </w:t>
      </w:r>
      <w:proofErr w:type="spellStart"/>
      <w:r w:rsidRPr="008B27C6">
        <w:rPr>
          <w:rFonts w:ascii="Times New Roman" w:hAnsi="Times New Roman"/>
        </w:rPr>
        <w:t>eGATE</w:t>
      </w:r>
      <w:proofErr w:type="spellEnd"/>
      <w:r w:rsidRPr="008B27C6">
        <w:rPr>
          <w:rFonts w:ascii="Times New Roman" w:hAnsi="Times New Roman"/>
        </w:rPr>
        <w:t>, a także przesyłania do wnioskodawcy dokumentów elektronicznych wytworzonych przez wojewódzkiego inspektora farmaceutycznego,</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modyfikowanie projektów decyzji administracyjnych dotyczących wydawania lub zmiany zezwoleń na prowadzenie aptek ogólnodostępnych, punktów aptecznych, zgód na prowadzenie aptek szpitalnych, zakładowych lu</w:t>
      </w:r>
      <w:r w:rsidR="00EB284F">
        <w:rPr>
          <w:rFonts w:ascii="Times New Roman" w:hAnsi="Times New Roman"/>
        </w:rPr>
        <w:t>b działów farmacji szpitalnej oraz</w:t>
      </w:r>
      <w:r w:rsidRPr="008B27C6">
        <w:rPr>
          <w:rFonts w:ascii="Times New Roman" w:hAnsi="Times New Roman"/>
        </w:rPr>
        <w:t xml:space="preserve"> po zaakceptowaniu treści opatrywanie ich przez organ podpisem elektronicznym. </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 xml:space="preserve">tworzenie i modyfikowanie projektów innych dokumentów, a po zaakceptowaniu treści opatrywanie ich przez organ podpisem elektronicznym. </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przechowywanie w systemie dokumentów w postaci elektronicznej przesłanych przez podmiot wnioskujący o wydanie zezwolenia lub zgody lub dla którego wydane zostało zezwolenie lub zgoda, a także dokumentów w postaci elektronicznej wydanych przez organ;</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automatyczne uzupełnianie danych w systemie, przez wykorzystanie danych zawartych w</w:t>
      </w:r>
      <w:r>
        <w:rPr>
          <w:rFonts w:ascii="Times New Roman" w:hAnsi="Times New Roman"/>
        </w:rPr>
        <w:t> </w:t>
      </w:r>
      <w:r w:rsidRPr="008B27C6">
        <w:rPr>
          <w:rFonts w:ascii="Times New Roman" w:hAnsi="Times New Roman"/>
        </w:rPr>
        <w:t xml:space="preserve">zezwoleniu na prowadzenie apteki ogólnodostępnej, punktu aptecznego lub zgodzie na prowadzenie apteki szpitalnej, zakładowej lub działu farmacji szpitalnej, a także w powiązanym wniosku, jeżeli wydanie zezwolenia lub zgody nastąpiło w postaci elektronicznej </w:t>
      </w:r>
      <w:r>
        <w:rPr>
          <w:rFonts w:ascii="Times New Roman" w:hAnsi="Times New Roman"/>
        </w:rPr>
        <w:t>w </w:t>
      </w:r>
      <w:r w:rsidRPr="008B27C6">
        <w:rPr>
          <w:rFonts w:ascii="Times New Roman" w:hAnsi="Times New Roman"/>
        </w:rPr>
        <w:t>systemie, w przypadku gdy wydanie zezwolenia lub zgody nastąpiło poza systemem ręczne wprowadzenie danych do systemu;</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udostępnianie do systemu informacji w ochronie zdrowia, o którym mowa w art. 1 ust. 1 ustawy z dnia 28 kwietnia 2011 r. o systemie informacji w ochronie zdrowia (Dz. U. Nr 113, poz. 657 i Nr 174, poz. 1039), oraz innym podmiotom, w zakresie, w jakim będą posiadać interes prawny, danych z systemu za pomocą usług sieciowych stanowiących mechanizm dostępu do danych z</w:t>
      </w:r>
      <w:r>
        <w:rPr>
          <w:rFonts w:ascii="Times New Roman" w:hAnsi="Times New Roman"/>
        </w:rPr>
        <w:t> </w:t>
      </w:r>
      <w:r w:rsidRPr="008B27C6">
        <w:rPr>
          <w:rFonts w:ascii="Times New Roman" w:hAnsi="Times New Roman"/>
        </w:rPr>
        <w:t>wykorzystaniem protokołów sieciowych;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powszechny dostęp do systemu w zakresie danych zawartych w zezwoleniu na prowadzenie apteki ogólnodostępnej, punktu aptecznego lub zgodzie na prowadzenie apteki szpitalnej, zakładowej lub działu farmacji szpitalnej za pośrednictwem odrębnej strony internetowej umożliwiającej prezentację oraz wyszukiwanie danych;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dostęp do historii zmian dotyczących wprowadzenia, usunięcia lub modyfikacji danych w</w:t>
      </w:r>
      <w:r>
        <w:rPr>
          <w:rFonts w:ascii="Times New Roman" w:hAnsi="Times New Roman"/>
        </w:rPr>
        <w:t> </w:t>
      </w:r>
      <w:r w:rsidRPr="008B27C6">
        <w:rPr>
          <w:rFonts w:ascii="Times New Roman" w:hAnsi="Times New Roman"/>
        </w:rPr>
        <w:t>systemie dla upoważnionych pracowników właściwych wojewódzkich inspektoratów farmaceutycznych;</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zapewnienie bezpieczeństwa przesyłanych danych, w tym danych udostępnianych za pomocą usług sieciowych, o których mowa w pkt 5, przez wykorzystanie szyfrowania kanału komunikacyjnego;</w:t>
      </w:r>
    </w:p>
    <w:p w:rsidR="00D01BF7" w:rsidRPr="008B27C6" w:rsidRDefault="00D01BF7" w:rsidP="00C66264">
      <w:pPr>
        <w:pStyle w:val="Akapitzlist"/>
        <w:numPr>
          <w:ilvl w:val="0"/>
          <w:numId w:val="31"/>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generowanie statystyk i raportów dotyczących danych zawartych w systemie.</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rejestrze udostępniane są informacje m.in. nt. zakresu zezwolenia, właściciela czy dane adresowe apteki. Rejestr ten stanowi referencyjne źródło informacji nt. aptek funkcjonujących na terenie całego kraju.</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Hurtowni Farmaceutycznych (RHF)</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Rejestr Zezwoleń na Prowadzenie Hurtowni Farmaceutycznej zwany Rejestrem Hurtowni Farmaceutycznych prowadzony jest przez Główny Inspektorat Farmaceutyczny zgodnie z art. 83 ustawy Prawo farmaceutyczne oraz rozporządzeniem Ministra Zdrowia z dnia 3 października 2012 r., w sprawie opisu systemu teleinformatycznego, w którym jest prowadzony Rejestr Zezwoleń na Prowadzenie Hurtowni Farmaceutycznej.</w:t>
      </w:r>
    </w:p>
    <w:p w:rsidR="00D01BF7" w:rsidRPr="00A06138" w:rsidRDefault="00D01BF7" w:rsidP="00C66264">
      <w:pPr>
        <w:spacing w:after="0" w:line="360" w:lineRule="auto"/>
        <w:jc w:val="both"/>
        <w:rPr>
          <w:rFonts w:ascii="Times New Roman" w:hAnsi="Times New Roman" w:cs="Times New Roman"/>
          <w:b/>
        </w:rPr>
      </w:pPr>
      <w:r w:rsidRPr="00A06138">
        <w:rPr>
          <w:rFonts w:ascii="Times New Roman" w:hAnsi="Times New Roman" w:cs="Times New Roman"/>
          <w:b/>
        </w:rPr>
        <w:lastRenderedPageBreak/>
        <w:t>Rejestr</w:t>
      </w:r>
      <w:r>
        <w:rPr>
          <w:rFonts w:ascii="Times New Roman" w:hAnsi="Times New Roman" w:cs="Times New Roman"/>
          <w:b/>
        </w:rPr>
        <w:t xml:space="preserve"> zapewnia następujące minimalne funkcjonalności</w:t>
      </w:r>
      <w:r w:rsidRPr="00A06138">
        <w:rPr>
          <w:rFonts w:ascii="Times New Roman" w:hAnsi="Times New Roman" w:cs="Times New Roman"/>
          <w:b/>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gromadzenie danych dotyczących zezwoleń na prowadzenie hurtowni farmaceutycznej</w:t>
      </w:r>
      <w:r>
        <w:rPr>
          <w:rFonts w:ascii="Times New Roman" w:hAnsi="Times New Roman"/>
        </w:rPr>
        <w:t xml:space="preserve"> oraz</w:t>
      </w:r>
      <w:r w:rsidRPr="008B27C6">
        <w:rPr>
          <w:rFonts w:ascii="Times New Roman" w:hAnsi="Times New Roman"/>
        </w:rPr>
        <w:t xml:space="preserve"> dotyczących podmiotów, którym zostało wydane zezwolenie;</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możliwość złożenia wniosku o wydanie lub zmianę zezwolenia na prowadzenie hurtowni farmaceutycznej w postaci dokumentu elektronicznego, na elektroniczną skrzynkę podawczą właściwego organu administracji publicznej oraz za pośrednictwem elektronicznej platformy usług administracji publicznej, zwanej dalej „</w:t>
      </w:r>
      <w:proofErr w:type="spellStart"/>
      <w:r w:rsidRPr="008B27C6">
        <w:rPr>
          <w:rFonts w:ascii="Times New Roman" w:hAnsi="Times New Roman"/>
        </w:rPr>
        <w:t>ePUAP</w:t>
      </w:r>
      <w:proofErr w:type="spellEnd"/>
      <w:r w:rsidRPr="008B27C6">
        <w:rPr>
          <w:rFonts w:ascii="Times New Roman" w:hAnsi="Times New Roman"/>
        </w:rPr>
        <w:t>”, a także przesyłania do wnioskodawcy dokumentów elektronicznych wytworzonych przez Głównego Inspektora Farmaceutycznego, w rezultacie złożonego wniosku;</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modyfikowanie projektów decyzji administracyjnych dotyczących wydawania lub zmiany zezwoleń na prowadz</w:t>
      </w:r>
      <w:r>
        <w:rPr>
          <w:rFonts w:ascii="Times New Roman" w:hAnsi="Times New Roman"/>
        </w:rPr>
        <w:t xml:space="preserve">enie hurtowni farmaceutycznej oraz </w:t>
      </w:r>
      <w:r w:rsidRPr="008B27C6">
        <w:rPr>
          <w:rFonts w:ascii="Times New Roman" w:hAnsi="Times New Roman"/>
        </w:rPr>
        <w:t>po zaakceptowaniu treści opatrywanie ich przez organ podpisem elektronicznym</w:t>
      </w:r>
      <w:r>
        <w:rPr>
          <w:rFonts w:ascii="Times New Roman" w:hAnsi="Times New Roman"/>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i modyfikowani</w:t>
      </w:r>
      <w:r>
        <w:rPr>
          <w:rFonts w:ascii="Times New Roman" w:hAnsi="Times New Roman"/>
        </w:rPr>
        <w:t>e projektów innych dokumentów oraz</w:t>
      </w:r>
      <w:r w:rsidRPr="008B27C6">
        <w:rPr>
          <w:rFonts w:ascii="Times New Roman" w:hAnsi="Times New Roman"/>
        </w:rPr>
        <w:t xml:space="preserve"> po zaakceptowaniu treści opatrywanie ich przez organ podpisem elektronicznym albo podpisem potwierdzonym profilem zaufanym </w:t>
      </w:r>
      <w:proofErr w:type="spellStart"/>
      <w:r w:rsidRPr="008B27C6">
        <w:rPr>
          <w:rFonts w:ascii="Times New Roman" w:hAnsi="Times New Roman"/>
        </w:rPr>
        <w:t>ePUAP</w:t>
      </w:r>
      <w:proofErr w:type="spellEnd"/>
      <w:r w:rsidRPr="008B27C6">
        <w:rPr>
          <w:rFonts w:ascii="Times New Roman" w:hAnsi="Times New Roman"/>
        </w:rPr>
        <w:t xml:space="preserve"> </w:t>
      </w:r>
      <w:r>
        <w:rPr>
          <w:rFonts w:ascii="Times New Roman" w:hAnsi="Times New Roman"/>
        </w:rPr>
        <w:t>;</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przechowywanie w systemie dokumentów w postaci elektronicznej przesłanych przez podmiot wnioskujący o wydanie zezwolenia lub dla którego wydane zostało zezwolenie, a także dokumentów w postaci elektronicznej wydanych przez organ;</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automatyczne uzupełnianie danych w systemie przez wykorzystanie danych zawartych w</w:t>
      </w:r>
      <w:r>
        <w:rPr>
          <w:rFonts w:ascii="Times New Roman" w:hAnsi="Times New Roman"/>
        </w:rPr>
        <w:t> </w:t>
      </w:r>
      <w:r w:rsidRPr="008B27C6">
        <w:rPr>
          <w:rFonts w:ascii="Times New Roman" w:hAnsi="Times New Roman"/>
        </w:rPr>
        <w:t>zezwoleniu na prowadzenie hurtowni farmaceutycznej, a także w powiązanym wniosku, jeżeli wydanie zezwolenia nastąpiło w postaci elektronicznej na ESP</w:t>
      </w:r>
      <w:r>
        <w:rPr>
          <w:rFonts w:ascii="Times New Roman" w:hAnsi="Times New Roman"/>
        </w:rPr>
        <w:t>,</w:t>
      </w:r>
      <w:r w:rsidRPr="008B27C6">
        <w:rPr>
          <w:rFonts w:ascii="Times New Roman" w:hAnsi="Times New Roman"/>
        </w:rPr>
        <w:t xml:space="preserve"> w przypadku gdy wydanie zezwolenia nastąpiło poza systemem ręcznego wprowadzenia danych do systemu;</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udostępnianie do systemu informacji w ochronie zdrowia oraz innym podmiotom, w zakresie, w jakim będą posiadać interes prawny, danych z systemu za pomocą usług sieciowych stanowiących mechanizm dostępu do danych z wykorzystaniem protokołów sieciowych;</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powszechny dostęp do systemu w zakresie danych zawartych w zezwoleniu na prowadzenie hurtowni farmaceutycznej za pośrednictwem odrębnej strony internetowej umożliwiającej prezentację oraz wyszukiwanie danych;</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dostęp do historii zmian dotyczących wprowadzenia, usunięcia lub modyfikacji danych w</w:t>
      </w:r>
      <w:r>
        <w:rPr>
          <w:rFonts w:ascii="Times New Roman" w:hAnsi="Times New Roman"/>
        </w:rPr>
        <w:t> </w:t>
      </w:r>
      <w:r w:rsidRPr="008B27C6">
        <w:rPr>
          <w:rFonts w:ascii="Times New Roman" w:hAnsi="Times New Roman"/>
        </w:rPr>
        <w:t>systemie dla upoważnionych pracowników Głównego Inspektoratu Farmaceutycznego;</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zapewnienie bezpieczeństwa przesyłanych danych, w tym danych udostępnianych za pomocą usług sieciowych, o których mowa w pkt 5, przez wykorzystanie szyfrowania kanału komunikacyjnego;</w:t>
      </w:r>
    </w:p>
    <w:p w:rsidR="00D01BF7" w:rsidRPr="008B27C6" w:rsidRDefault="00D01BF7" w:rsidP="00C66264">
      <w:pPr>
        <w:pStyle w:val="Akapitzlist"/>
        <w:numPr>
          <w:ilvl w:val="0"/>
          <w:numId w:val="32"/>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generowanie statystyk i raportów dotyczących danych zawartych w systemie.</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rejestrze udostępniane są informacje m.in. nt. zakresu zezwolenia, właścicielu czy dane adresowe hurtowni. Rejestr ten stanowi referencyjne źródło informacji nt. hurtowni farmaceutycznych funkcjonujących na terenie całego kraju.</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rPr>
      </w:pPr>
    </w:p>
    <w:p w:rsidR="00D01BF7" w:rsidRPr="008B27C6" w:rsidRDefault="00E07E46" w:rsidP="00C66264">
      <w:pPr>
        <w:spacing w:after="0" w:line="360" w:lineRule="auto"/>
        <w:jc w:val="both"/>
        <w:rPr>
          <w:rFonts w:ascii="Times New Roman" w:hAnsi="Times New Roman" w:cs="Times New Roman"/>
          <w:b/>
        </w:rPr>
      </w:pPr>
      <w:r>
        <w:rPr>
          <w:rFonts w:ascii="Times New Roman" w:hAnsi="Times New Roman" w:cs="Times New Roman"/>
          <w:b/>
        </w:rPr>
        <w:t>Rejestr</w:t>
      </w:r>
      <w:r w:rsidR="00D01BF7" w:rsidRPr="008B27C6">
        <w:rPr>
          <w:rFonts w:ascii="Times New Roman" w:hAnsi="Times New Roman" w:cs="Times New Roman"/>
          <w:b/>
        </w:rPr>
        <w:t xml:space="preserve"> Systemów Kodowania (RSK)</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Służy do tworzenia i rejestrowania hierarchicznych systemów kodowania używanych w systemie ochrony zdrowia. Właścicielem i administratorem systemu jest CSIOZ, które zostało powołane do pełnienia roli Polskiego Organu Rejestracji Systemów Kodowania w Ochronie Zdrowia. Procesy, zaimplementowane w systemie, związane z rejestracją systemów kodowania, są zgodne z normą PN-EN 1068:2005.</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Rejestr Systemów Kodowania jest miejscem z którego można pobrać klasyfikacje oraz słowniki medyczne zarówno międzynarodowe, jak i krajowe przydatne w codziennym użytku podmiotów leczniczych. Pobranie danych możliwe jest po zalogowaniu do systemu. </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Produktów Leczniczych (RPL)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Zawiera informacje o wszystkich produktach leczniczych przeznaczonych dla ludzi oraz weterynaryjnych dopuszczonych do obrotu na terytorium Rzeczypospolitej Polskiej. Znajdują się tam między innymi dane dot. numerów pozwoleń na dopuszczenie do obrotu produktów leczniczych oraz daty wydania pozwoleń, terminy ważności oraz nazwy produktów leczniczych oraz określenie postaci i</w:t>
      </w:r>
      <w:r>
        <w:rPr>
          <w:rFonts w:ascii="Times New Roman" w:hAnsi="Times New Roman" w:cs="Times New Roman"/>
        </w:rPr>
        <w:t> </w:t>
      </w:r>
      <w:r w:rsidRPr="008B27C6">
        <w:rPr>
          <w:rFonts w:ascii="Times New Roman" w:hAnsi="Times New Roman" w:cs="Times New Roman"/>
        </w:rPr>
        <w:t>dawki.</w:t>
      </w:r>
    </w:p>
    <w:p w:rsidR="00D01BF7"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Centralny Wykaz Produktów Leczniczych realizowany jest przez system Rejestr Produktów Leczniczych Dopuszczonych do Obrotu na terytorium Rzeczypospolitej Polskiej. </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System zwiera </w:t>
      </w:r>
      <w:r>
        <w:rPr>
          <w:rFonts w:ascii="Times New Roman" w:hAnsi="Times New Roman" w:cs="Times New Roman"/>
        </w:rPr>
        <w:t>następujące dane</w:t>
      </w:r>
      <w:r w:rsidRPr="008B27C6">
        <w:rPr>
          <w:rFonts w:ascii="Times New Roman" w:hAnsi="Times New Roman" w:cs="Times New Roman"/>
        </w:rPr>
        <w:t>:</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numer pozwolenia na dopuszczenie do obrotu produktu leczniczego oraz datę jego wydania i</w:t>
      </w:r>
      <w:r>
        <w:rPr>
          <w:rFonts w:ascii="Times New Roman" w:hAnsi="Times New Roman"/>
        </w:rPr>
        <w:t> </w:t>
      </w:r>
      <w:r w:rsidRPr="008B27C6">
        <w:rPr>
          <w:rFonts w:ascii="Times New Roman" w:hAnsi="Times New Roman"/>
        </w:rPr>
        <w:t>termin ważności,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produktu leczniczego oraz określenie postaci i dawki,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powszechnie stosowaną produktu leczniczego, jeżeli dotyczy,</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i adres podmiotu odpowiedzialnego,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lastRenderedPageBreak/>
        <w:t>nazwę i adres wytwórcy oraz miejsca wytwarzania, gdzie następuje zwolnienie serii,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pełne określenie składu jakościowego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kategorię dostępności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okres ważności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kod zgodny z systemem EAN UCC przyznany dla produktów leczniczych stosowanych u ludzi,</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informacje na temat warunków przechowywania i transportu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charakterystykę produktu leczniczego,</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wskazania i przeciwwskazania stosowania,</w:t>
      </w:r>
    </w:p>
    <w:p w:rsidR="00D01BF7" w:rsidRPr="008B27C6" w:rsidRDefault="00D01BF7" w:rsidP="00C66264">
      <w:pPr>
        <w:pStyle w:val="Akapitzlist"/>
        <w:numPr>
          <w:ilvl w:val="0"/>
          <w:numId w:val="34"/>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imię i nazwisko oraz adres osoby odpowiedzialnej za ciągły nadzór nad monitorowaniem bezpieczeństwa stosowania produktu leczniczego;</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produktu leczniczego oraz określenie postaci i dawki,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powszechnie stosowaną produktu leczniczego, jeżeli taka występuje,</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nazwę i adres podmiotu odpowiedzialnego,</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wielkość opakowania,</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numer serii,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datę wydania decyzji,</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oznaczenie organu,</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rodzaj rozstrzygnięcia,</w:t>
      </w:r>
    </w:p>
    <w:p w:rsidR="00D01BF7" w:rsidRPr="008B27C6" w:rsidRDefault="00D01BF7" w:rsidP="00C66264">
      <w:pPr>
        <w:pStyle w:val="Akapitzlist"/>
        <w:numPr>
          <w:ilvl w:val="0"/>
          <w:numId w:val="35"/>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przyczyny wydania decyzji;</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Diagnostów Laboratoryjnych (RDL)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Rejestr Diagnostów Laboratoryjnych zarejestrowanych na terenie RP prowadzony jest przez Krajową Radę Diagnostów Laboratoryjnych na podstawie art.8 ustawy z dnia 27 lipca 2001 r., o diagnostyce laboratoryjnej (tj. Dz.U. 2014 poz. 174).</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Krajowa Rada Diagnostów Laboratoryjnych udostępnia dane z ewidencji najpóźniej w terminie 14 dni od dnia złożenia wniosku za pośrednictwem Rejestru Diagnostów Laboratoryjnych, który umożliwia wyszukiwanie diagnostów laboratoryjnych na terenie RP.</w:t>
      </w:r>
      <w:r>
        <w:rPr>
          <w:rFonts w:ascii="Times New Roman" w:hAnsi="Times New Roman" w:cs="Times New Roman"/>
        </w:rPr>
        <w:t xml:space="preserve"> Rejestr umożliwia udostępnienie danych o</w:t>
      </w:r>
      <w:r w:rsidR="00A2348A">
        <w:rPr>
          <w:rFonts w:ascii="Times New Roman" w:hAnsi="Times New Roman" w:cs="Times New Roman"/>
        </w:rPr>
        <w:t> </w:t>
      </w:r>
      <w:r>
        <w:rPr>
          <w:rFonts w:ascii="Times New Roman" w:hAnsi="Times New Roman" w:cs="Times New Roman"/>
        </w:rPr>
        <w:t>farmaceutach posiadających aktualne prawo wykonywania zawodu.</w:t>
      </w:r>
    </w:p>
    <w:p w:rsidR="00D01BF7" w:rsidRPr="008B27C6" w:rsidRDefault="00D01BF7" w:rsidP="00C66264">
      <w:pPr>
        <w:spacing w:after="0" w:line="360" w:lineRule="auto"/>
        <w:jc w:val="both"/>
        <w:rPr>
          <w:rFonts w:ascii="Times New Roman" w:hAnsi="Times New Roman" w:cs="Times New Roman"/>
          <w:b/>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Rejestr podmiotów wykonujących działalność leczniczą (RPWDL)</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 xml:space="preserve">Rejestr podmiotów wykonujących działalność leczniczą (RPWDL) jest elektronicznym rejestrem prowadzonym zgodnie z ustawą z dnia 15 kwietnia 2011 o działalności leczniczej (Dz. U. Nr 112, poz. </w:t>
      </w:r>
      <w:r w:rsidRPr="008B27C6">
        <w:rPr>
          <w:rFonts w:ascii="Times New Roman" w:hAnsi="Times New Roman" w:cs="Times New Roman"/>
        </w:rPr>
        <w:lastRenderedPageBreak/>
        <w:t>654). W części publicznej Rejestru użytkownik może uzyskać informacje na temat podmiotów wykonujących działalność leczniczą</w:t>
      </w:r>
      <w:r>
        <w:rPr>
          <w:rFonts w:ascii="Times New Roman" w:hAnsi="Times New Roman" w:cs="Times New Roman"/>
        </w:rPr>
        <w:t>,</w:t>
      </w:r>
      <w:r w:rsidRPr="008B27C6">
        <w:rPr>
          <w:rFonts w:ascii="Times New Roman" w:hAnsi="Times New Roman" w:cs="Times New Roman"/>
        </w:rPr>
        <w:t xml:space="preserve"> w tym Podmiotów leczniczych, Praktyk zawodowych lekarzy i</w:t>
      </w:r>
      <w:r>
        <w:rPr>
          <w:rFonts w:ascii="Times New Roman" w:hAnsi="Times New Roman" w:cs="Times New Roman"/>
        </w:rPr>
        <w:t> l</w:t>
      </w:r>
      <w:r w:rsidRPr="008B27C6">
        <w:rPr>
          <w:rFonts w:ascii="Times New Roman" w:hAnsi="Times New Roman" w:cs="Times New Roman"/>
        </w:rPr>
        <w:t>ekarzy dentystów, Praktyk zawodowych pielęgniarek i położnych.</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W części dostępnej po zalogowaniu, Rejestr umożliwia między innymi:</w:t>
      </w:r>
    </w:p>
    <w:p w:rsidR="00D01BF7" w:rsidRPr="008B27C6" w:rsidRDefault="00D01BF7" w:rsidP="00C66264">
      <w:pPr>
        <w:pStyle w:val="Akapitzlist"/>
        <w:numPr>
          <w:ilvl w:val="0"/>
          <w:numId w:val="38"/>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tworzenie wniosków:</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wpis podmiotu do Rejestru,</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wpis zmian w Rejestrze,</w:t>
      </w:r>
    </w:p>
    <w:p w:rsidR="00D01BF7" w:rsidRPr="008B27C6" w:rsidRDefault="00D01BF7" w:rsidP="00C66264">
      <w:pPr>
        <w:pStyle w:val="Akapitzlist"/>
        <w:numPr>
          <w:ilvl w:val="0"/>
          <w:numId w:val="39"/>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wykreślenie podmiotu z Rejestru,</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wysłanie drogą elektroniczną podpisanego wniosku w formie elektronicznej;</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pobranie zaświadczeń;</w:t>
      </w:r>
    </w:p>
    <w:p w:rsidR="00D01BF7" w:rsidRPr="008B27C6" w:rsidRDefault="00D01BF7" w:rsidP="00C66264">
      <w:pPr>
        <w:pStyle w:val="Akapitzlist"/>
        <w:numPr>
          <w:ilvl w:val="0"/>
          <w:numId w:val="40"/>
        </w:numPr>
        <w:suppressAutoHyphens/>
        <w:autoSpaceDN w:val="0"/>
        <w:spacing w:after="0" w:line="360" w:lineRule="auto"/>
        <w:contextualSpacing w:val="0"/>
        <w:jc w:val="both"/>
        <w:textAlignment w:val="baseline"/>
        <w:rPr>
          <w:rFonts w:ascii="Times New Roman" w:hAnsi="Times New Roman"/>
        </w:rPr>
      </w:pPr>
      <w:r w:rsidRPr="008B27C6">
        <w:rPr>
          <w:rFonts w:ascii="Times New Roman" w:hAnsi="Times New Roman"/>
        </w:rPr>
        <w:t>przechowywanie i późniejszy dostęp do wniosków roboczych oraz wniosków podpisanych i</w:t>
      </w:r>
      <w:r>
        <w:rPr>
          <w:rFonts w:ascii="Times New Roman" w:hAnsi="Times New Roman"/>
        </w:rPr>
        <w:t> </w:t>
      </w:r>
      <w:r w:rsidRPr="008B27C6">
        <w:rPr>
          <w:rFonts w:ascii="Times New Roman" w:hAnsi="Times New Roman"/>
        </w:rPr>
        <w:t>wysłanych drogą elektroniczną.</w:t>
      </w:r>
    </w:p>
    <w:p w:rsidR="00D01BF7" w:rsidRPr="008B27C6" w:rsidRDefault="00D01BF7" w:rsidP="00C66264">
      <w:pPr>
        <w:spacing w:after="0" w:line="360" w:lineRule="auto"/>
        <w:jc w:val="both"/>
        <w:rPr>
          <w:rFonts w:ascii="Times New Roman" w:hAnsi="Times New Roman" w:cs="Times New Roman"/>
        </w:rPr>
      </w:pPr>
    </w:p>
    <w:p w:rsidR="00D01BF7" w:rsidRPr="008B27C6" w:rsidRDefault="00D01BF7" w:rsidP="00C66264">
      <w:pPr>
        <w:spacing w:after="0" w:line="360" w:lineRule="auto"/>
        <w:jc w:val="both"/>
        <w:rPr>
          <w:rFonts w:ascii="Times New Roman" w:hAnsi="Times New Roman" w:cs="Times New Roman"/>
          <w:b/>
        </w:rPr>
      </w:pPr>
      <w:r w:rsidRPr="008B27C6">
        <w:rPr>
          <w:rFonts w:ascii="Times New Roman" w:hAnsi="Times New Roman" w:cs="Times New Roman"/>
          <w:b/>
        </w:rPr>
        <w:t>Centralny Rejestr Farmaceutów (CRF)</w:t>
      </w:r>
    </w:p>
    <w:p w:rsidR="00D01BF7" w:rsidRPr="008B27C6" w:rsidRDefault="00D01BF7" w:rsidP="00C66264">
      <w:pPr>
        <w:spacing w:after="0" w:line="360" w:lineRule="auto"/>
        <w:jc w:val="both"/>
        <w:rPr>
          <w:rFonts w:ascii="Times New Roman" w:hAnsi="Times New Roman" w:cs="Times New Roman"/>
        </w:rPr>
      </w:pPr>
      <w:r w:rsidRPr="008B27C6">
        <w:rPr>
          <w:rFonts w:ascii="Times New Roman" w:hAnsi="Times New Roman" w:cs="Times New Roman"/>
        </w:rPr>
        <w:t>Centralny Rejestr Farmaceutów Rzeczypospolitej Polskiej prowadzony jest przez Naczelną Radę Aptekarską na podstawie art. 39 ust. 1 ustawy z dnia 19 kwietnia 1991 roku o izbach aptekarskich. Centralny Rejestr Farmaceutów RP obejmuje dane uzyskiwane od okręgowych rad aptekarskich, o</w:t>
      </w:r>
      <w:r>
        <w:rPr>
          <w:rFonts w:ascii="Times New Roman" w:hAnsi="Times New Roman" w:cs="Times New Roman"/>
        </w:rPr>
        <w:t> </w:t>
      </w:r>
      <w:r w:rsidRPr="008B27C6">
        <w:rPr>
          <w:rFonts w:ascii="Times New Roman" w:hAnsi="Times New Roman" w:cs="Times New Roman"/>
        </w:rPr>
        <w:t>których mowa w art. 8 ust. 2 i art. 8a ust. 2 ustawy o izbach aptekarskich.</w:t>
      </w:r>
      <w:r>
        <w:rPr>
          <w:rFonts w:ascii="Times New Roman" w:hAnsi="Times New Roman" w:cs="Times New Roman"/>
        </w:rPr>
        <w:t xml:space="preserve"> Rejestr umożliwia udostępnienie danych o farmaceutach posiadających aktualne prawo wykonywania zawodu.</w:t>
      </w:r>
    </w:p>
    <w:p w:rsidR="00D01BF7" w:rsidRPr="008B27C6" w:rsidRDefault="00D01BF7" w:rsidP="00C66264">
      <w:pPr>
        <w:spacing w:after="0" w:line="360" w:lineRule="auto"/>
        <w:jc w:val="both"/>
        <w:rPr>
          <w:rFonts w:ascii="Times New Roman" w:hAnsi="Times New Roman" w:cs="Times New Roman"/>
        </w:rPr>
      </w:pPr>
    </w:p>
    <w:p w:rsidR="00D01BF7" w:rsidRDefault="00D01BF7" w:rsidP="00C66264">
      <w:pPr>
        <w:spacing w:after="0" w:line="360" w:lineRule="auto"/>
        <w:jc w:val="both"/>
        <w:rPr>
          <w:rFonts w:ascii="Times New Roman" w:hAnsi="Times New Roman" w:cs="Times New Roman"/>
          <w:b/>
        </w:rPr>
      </w:pPr>
      <w:r>
        <w:rPr>
          <w:rFonts w:ascii="Times New Roman" w:hAnsi="Times New Roman" w:cs="Times New Roman"/>
          <w:b/>
        </w:rPr>
        <w:t>Obecnie prowadzone są prace nad:</w:t>
      </w:r>
    </w:p>
    <w:p w:rsidR="00D01BF7" w:rsidRDefault="00D01BF7" w:rsidP="00C66264">
      <w:pPr>
        <w:pStyle w:val="Akapitzlist"/>
        <w:numPr>
          <w:ilvl w:val="0"/>
          <w:numId w:val="41"/>
        </w:numPr>
        <w:suppressAutoHyphens/>
        <w:autoSpaceDN w:val="0"/>
        <w:spacing w:after="0" w:line="360" w:lineRule="auto"/>
        <w:contextualSpacing w:val="0"/>
        <w:jc w:val="both"/>
        <w:textAlignment w:val="baseline"/>
        <w:rPr>
          <w:rFonts w:ascii="Times New Roman" w:hAnsi="Times New Roman"/>
        </w:rPr>
      </w:pPr>
      <w:r>
        <w:rPr>
          <w:rFonts w:ascii="Times New Roman" w:hAnsi="Times New Roman"/>
        </w:rPr>
        <w:t>Rejestrami wynikającymi z ustawy o Państwowym Ratownictwie Medycznym</w:t>
      </w:r>
    </w:p>
    <w:p w:rsidR="00A970DA" w:rsidRPr="00A970DA" w:rsidRDefault="00D01BF7" w:rsidP="00C66264">
      <w:pPr>
        <w:pStyle w:val="Akapitzlist"/>
        <w:numPr>
          <w:ilvl w:val="0"/>
          <w:numId w:val="41"/>
        </w:numPr>
        <w:suppressAutoHyphens/>
        <w:autoSpaceDN w:val="0"/>
        <w:spacing w:after="0" w:line="360" w:lineRule="auto"/>
        <w:contextualSpacing w:val="0"/>
        <w:jc w:val="both"/>
        <w:textAlignment w:val="baseline"/>
        <w:rPr>
          <w:rFonts w:ascii="Times New Roman" w:eastAsia="Calibri" w:hAnsi="Times New Roman" w:cs="Times New Roman"/>
        </w:rPr>
      </w:pPr>
      <w:r>
        <w:rPr>
          <w:rFonts w:ascii="Times New Roman" w:hAnsi="Times New Roman"/>
        </w:rPr>
        <w:t>Rejestrem Ośrodków M</w:t>
      </w:r>
      <w:r w:rsidRPr="005E780B">
        <w:rPr>
          <w:rFonts w:ascii="Times New Roman" w:hAnsi="Times New Roman"/>
        </w:rPr>
        <w:t xml:space="preserve">edycznie </w:t>
      </w:r>
      <w:r>
        <w:rPr>
          <w:rFonts w:ascii="Times New Roman" w:hAnsi="Times New Roman"/>
        </w:rPr>
        <w:t>Wspomaganej P</w:t>
      </w:r>
      <w:r w:rsidRPr="005E780B">
        <w:rPr>
          <w:rFonts w:ascii="Times New Roman" w:hAnsi="Times New Roman"/>
        </w:rPr>
        <w:t xml:space="preserve">rokreacji oraz </w:t>
      </w:r>
      <w:r>
        <w:rPr>
          <w:rFonts w:ascii="Times New Roman" w:hAnsi="Times New Roman"/>
        </w:rPr>
        <w:t>B</w:t>
      </w:r>
      <w:r w:rsidRPr="005E780B">
        <w:rPr>
          <w:rFonts w:ascii="Times New Roman" w:hAnsi="Times New Roman"/>
        </w:rPr>
        <w:t xml:space="preserve">anku </w:t>
      </w:r>
      <w:r>
        <w:rPr>
          <w:rFonts w:ascii="Times New Roman" w:hAnsi="Times New Roman"/>
        </w:rPr>
        <w:t>K</w:t>
      </w:r>
      <w:r w:rsidRPr="005E780B">
        <w:rPr>
          <w:rFonts w:ascii="Times New Roman" w:hAnsi="Times New Roman"/>
        </w:rPr>
        <w:t xml:space="preserve">omórek </w:t>
      </w:r>
      <w:r>
        <w:rPr>
          <w:rFonts w:ascii="Times New Roman" w:hAnsi="Times New Roman"/>
        </w:rPr>
        <w:t>R</w:t>
      </w:r>
      <w:r w:rsidRPr="005E780B">
        <w:rPr>
          <w:rFonts w:ascii="Times New Roman" w:hAnsi="Times New Roman"/>
        </w:rPr>
        <w:t xml:space="preserve">ozrodczych i </w:t>
      </w:r>
      <w:r>
        <w:rPr>
          <w:rFonts w:ascii="Times New Roman" w:hAnsi="Times New Roman"/>
        </w:rPr>
        <w:t>Z</w:t>
      </w:r>
      <w:r w:rsidRPr="005E780B">
        <w:rPr>
          <w:rFonts w:ascii="Times New Roman" w:hAnsi="Times New Roman"/>
        </w:rPr>
        <w:t>arodków</w:t>
      </w:r>
    </w:p>
    <w:p w:rsidR="00A970DA" w:rsidRDefault="00A970DA" w:rsidP="00C66264">
      <w:pPr>
        <w:pStyle w:val="Akapitzlist"/>
        <w:suppressAutoHyphens/>
        <w:autoSpaceDN w:val="0"/>
        <w:spacing w:after="0" w:line="360" w:lineRule="auto"/>
        <w:contextualSpacing w:val="0"/>
        <w:jc w:val="both"/>
        <w:textAlignment w:val="baseline"/>
        <w:rPr>
          <w:rFonts w:ascii="Times New Roman" w:hAnsi="Times New Roman"/>
        </w:rPr>
      </w:pPr>
      <w:bookmarkStart w:id="0" w:name="_GoBack"/>
      <w:bookmarkEnd w:id="0"/>
    </w:p>
    <w:sectPr w:rsidR="00A970DA" w:rsidSect="00C16B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AD" w:rsidRDefault="009E32AD">
      <w:pPr>
        <w:spacing w:after="0" w:line="240" w:lineRule="auto"/>
      </w:pPr>
      <w:r>
        <w:separator/>
      </w:r>
    </w:p>
  </w:endnote>
  <w:endnote w:type="continuationSeparator" w:id="0">
    <w:p w:rsidR="009E32AD" w:rsidRDefault="009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13" w:rsidRDefault="009E32AD">
    <w:pPr>
      <w:pStyle w:val="Stopka"/>
      <w:jc w:val="right"/>
    </w:pPr>
  </w:p>
  <w:p w:rsidR="002765FD" w:rsidRDefault="002765FD" w:rsidP="002765FD">
    <w:pPr>
      <w:pStyle w:val="Stopka"/>
      <w:jc w:val="right"/>
    </w:pPr>
    <w:r>
      <w:rPr>
        <w:noProof/>
        <w:lang w:eastAsia="pl-PL"/>
      </w:rPr>
      <w:drawing>
        <wp:inline distT="0" distB="0" distL="0" distR="0" wp14:anchorId="389D226D" wp14:editId="7F3E7248">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rsidR="002765FD" w:rsidRPr="00B85136" w:rsidRDefault="002765FD" w:rsidP="002765FD">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C43B1B">
          <w:rPr>
            <w:rFonts w:ascii="Arial" w:hAnsi="Arial" w:cs="Arial"/>
            <w:noProof/>
            <w:sz w:val="20"/>
            <w:szCs w:val="20"/>
          </w:rPr>
          <w:t>6</w:t>
        </w:r>
        <w:r w:rsidRPr="00B85136">
          <w:rPr>
            <w:rFonts w:ascii="Arial" w:hAnsi="Arial" w:cs="Arial"/>
            <w:sz w:val="20"/>
            <w:szCs w:val="20"/>
          </w:rPr>
          <w:fldChar w:fldCharType="end"/>
        </w:r>
      </w:p>
    </w:sdtContent>
  </w:sdt>
  <w:p w:rsidR="00180913" w:rsidRDefault="009E32AD" w:rsidP="00276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AD" w:rsidRDefault="009E32AD">
      <w:pPr>
        <w:spacing w:after="0" w:line="240" w:lineRule="auto"/>
      </w:pPr>
      <w:r>
        <w:separator/>
      </w:r>
    </w:p>
  </w:footnote>
  <w:footnote w:type="continuationSeparator" w:id="0">
    <w:p w:rsidR="009E32AD" w:rsidRDefault="009E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r>
      <w:rPr>
        <w:noProof/>
        <w:lang w:eastAsia="pl-PL"/>
      </w:rPr>
      <w:drawing>
        <wp:inline distT="0" distB="0" distL="0" distR="0" wp14:anchorId="7B080AA3" wp14:editId="7E8D1256">
          <wp:extent cx="5760720" cy="11270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70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D" w:rsidRDefault="002765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78A"/>
    <w:multiLevelType w:val="hybridMultilevel"/>
    <w:tmpl w:val="2E4212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6309F6"/>
    <w:multiLevelType w:val="hybridMultilevel"/>
    <w:tmpl w:val="B4FC9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D6986"/>
    <w:multiLevelType w:val="hybridMultilevel"/>
    <w:tmpl w:val="1E5E5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DF7B70"/>
    <w:multiLevelType w:val="hybridMultilevel"/>
    <w:tmpl w:val="819CD2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5D174A"/>
    <w:multiLevelType w:val="hybridMultilevel"/>
    <w:tmpl w:val="291C9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102B8"/>
    <w:multiLevelType w:val="hybridMultilevel"/>
    <w:tmpl w:val="E206B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582378"/>
    <w:multiLevelType w:val="hybridMultilevel"/>
    <w:tmpl w:val="BEA2DF58"/>
    <w:lvl w:ilvl="0" w:tplc="E63C25C0">
      <w:start w:val="1"/>
      <w:numFmt w:val="bullet"/>
      <w:lvlText w:val="•"/>
      <w:lvlJc w:val="left"/>
      <w:pPr>
        <w:tabs>
          <w:tab w:val="num" w:pos="720"/>
        </w:tabs>
        <w:ind w:left="720" w:hanging="360"/>
      </w:pPr>
      <w:rPr>
        <w:rFonts w:ascii="Arial" w:hAnsi="Arial" w:hint="default"/>
      </w:rPr>
    </w:lvl>
    <w:lvl w:ilvl="1" w:tplc="8F10C092" w:tentative="1">
      <w:start w:val="1"/>
      <w:numFmt w:val="bullet"/>
      <w:lvlText w:val="•"/>
      <w:lvlJc w:val="left"/>
      <w:pPr>
        <w:tabs>
          <w:tab w:val="num" w:pos="1440"/>
        </w:tabs>
        <w:ind w:left="1440" w:hanging="360"/>
      </w:pPr>
      <w:rPr>
        <w:rFonts w:ascii="Arial" w:hAnsi="Arial" w:hint="default"/>
      </w:rPr>
    </w:lvl>
    <w:lvl w:ilvl="2" w:tplc="52D2DA88" w:tentative="1">
      <w:start w:val="1"/>
      <w:numFmt w:val="bullet"/>
      <w:lvlText w:val="•"/>
      <w:lvlJc w:val="left"/>
      <w:pPr>
        <w:tabs>
          <w:tab w:val="num" w:pos="2160"/>
        </w:tabs>
        <w:ind w:left="2160" w:hanging="360"/>
      </w:pPr>
      <w:rPr>
        <w:rFonts w:ascii="Arial" w:hAnsi="Arial" w:hint="default"/>
      </w:rPr>
    </w:lvl>
    <w:lvl w:ilvl="3" w:tplc="2384C8FC" w:tentative="1">
      <w:start w:val="1"/>
      <w:numFmt w:val="bullet"/>
      <w:lvlText w:val="•"/>
      <w:lvlJc w:val="left"/>
      <w:pPr>
        <w:tabs>
          <w:tab w:val="num" w:pos="2880"/>
        </w:tabs>
        <w:ind w:left="2880" w:hanging="360"/>
      </w:pPr>
      <w:rPr>
        <w:rFonts w:ascii="Arial" w:hAnsi="Arial" w:hint="default"/>
      </w:rPr>
    </w:lvl>
    <w:lvl w:ilvl="4" w:tplc="25CEC920" w:tentative="1">
      <w:start w:val="1"/>
      <w:numFmt w:val="bullet"/>
      <w:lvlText w:val="•"/>
      <w:lvlJc w:val="left"/>
      <w:pPr>
        <w:tabs>
          <w:tab w:val="num" w:pos="3600"/>
        </w:tabs>
        <w:ind w:left="3600" w:hanging="360"/>
      </w:pPr>
      <w:rPr>
        <w:rFonts w:ascii="Arial" w:hAnsi="Arial" w:hint="default"/>
      </w:rPr>
    </w:lvl>
    <w:lvl w:ilvl="5" w:tplc="567A1D02" w:tentative="1">
      <w:start w:val="1"/>
      <w:numFmt w:val="bullet"/>
      <w:lvlText w:val="•"/>
      <w:lvlJc w:val="left"/>
      <w:pPr>
        <w:tabs>
          <w:tab w:val="num" w:pos="4320"/>
        </w:tabs>
        <w:ind w:left="4320" w:hanging="360"/>
      </w:pPr>
      <w:rPr>
        <w:rFonts w:ascii="Arial" w:hAnsi="Arial" w:hint="default"/>
      </w:rPr>
    </w:lvl>
    <w:lvl w:ilvl="6" w:tplc="6096DB78" w:tentative="1">
      <w:start w:val="1"/>
      <w:numFmt w:val="bullet"/>
      <w:lvlText w:val="•"/>
      <w:lvlJc w:val="left"/>
      <w:pPr>
        <w:tabs>
          <w:tab w:val="num" w:pos="5040"/>
        </w:tabs>
        <w:ind w:left="5040" w:hanging="360"/>
      </w:pPr>
      <w:rPr>
        <w:rFonts w:ascii="Arial" w:hAnsi="Arial" w:hint="default"/>
      </w:rPr>
    </w:lvl>
    <w:lvl w:ilvl="7" w:tplc="0BE6D1A0" w:tentative="1">
      <w:start w:val="1"/>
      <w:numFmt w:val="bullet"/>
      <w:lvlText w:val="•"/>
      <w:lvlJc w:val="left"/>
      <w:pPr>
        <w:tabs>
          <w:tab w:val="num" w:pos="5760"/>
        </w:tabs>
        <w:ind w:left="5760" w:hanging="360"/>
      </w:pPr>
      <w:rPr>
        <w:rFonts w:ascii="Arial" w:hAnsi="Arial" w:hint="default"/>
      </w:rPr>
    </w:lvl>
    <w:lvl w:ilvl="8" w:tplc="8E721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43386C"/>
    <w:multiLevelType w:val="hybridMultilevel"/>
    <w:tmpl w:val="7CA08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20F8C"/>
    <w:multiLevelType w:val="hybridMultilevel"/>
    <w:tmpl w:val="3684E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F5620E"/>
    <w:multiLevelType w:val="hybridMultilevel"/>
    <w:tmpl w:val="D9BEF2A6"/>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CF2F78"/>
    <w:multiLevelType w:val="hybridMultilevel"/>
    <w:tmpl w:val="70D8A28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EF4C2C"/>
    <w:multiLevelType w:val="multilevel"/>
    <w:tmpl w:val="F52A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87832"/>
    <w:multiLevelType w:val="hybridMultilevel"/>
    <w:tmpl w:val="DE726A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7B247F9"/>
    <w:multiLevelType w:val="hybridMultilevel"/>
    <w:tmpl w:val="E1C6F0F4"/>
    <w:lvl w:ilvl="0" w:tplc="55A06F9A">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D7835E2"/>
    <w:multiLevelType w:val="hybridMultilevel"/>
    <w:tmpl w:val="CC3CA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0225B9"/>
    <w:multiLevelType w:val="hybridMultilevel"/>
    <w:tmpl w:val="BC58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056CAF"/>
    <w:multiLevelType w:val="hybridMultilevel"/>
    <w:tmpl w:val="7C7C2C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B510BE8"/>
    <w:multiLevelType w:val="hybridMultilevel"/>
    <w:tmpl w:val="C9626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A93E7F"/>
    <w:multiLevelType w:val="hybridMultilevel"/>
    <w:tmpl w:val="AEB4B178"/>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635EDD"/>
    <w:multiLevelType w:val="hybridMultilevel"/>
    <w:tmpl w:val="236EB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F4A1F"/>
    <w:multiLevelType w:val="hybridMultilevel"/>
    <w:tmpl w:val="B8D8C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4D78CB"/>
    <w:multiLevelType w:val="hybridMultilevel"/>
    <w:tmpl w:val="A2EE1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5E7601"/>
    <w:multiLevelType w:val="hybridMultilevel"/>
    <w:tmpl w:val="97FC394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8A2E78"/>
    <w:multiLevelType w:val="hybridMultilevel"/>
    <w:tmpl w:val="BFF6B906"/>
    <w:lvl w:ilvl="0" w:tplc="8FB6B86C">
      <w:start w:val="1"/>
      <w:numFmt w:val="bullet"/>
      <w:lvlText w:val="•"/>
      <w:lvlJc w:val="left"/>
      <w:pPr>
        <w:tabs>
          <w:tab w:val="num" w:pos="720"/>
        </w:tabs>
        <w:ind w:left="720" w:hanging="360"/>
      </w:pPr>
      <w:rPr>
        <w:rFonts w:ascii="Arial" w:hAnsi="Arial" w:hint="default"/>
      </w:rPr>
    </w:lvl>
    <w:lvl w:ilvl="1" w:tplc="BCDE3384">
      <w:start w:val="1150"/>
      <w:numFmt w:val="bullet"/>
      <w:lvlText w:val="•"/>
      <w:lvlJc w:val="left"/>
      <w:pPr>
        <w:tabs>
          <w:tab w:val="num" w:pos="1440"/>
        </w:tabs>
        <w:ind w:left="1440" w:hanging="360"/>
      </w:pPr>
      <w:rPr>
        <w:rFonts w:ascii="Arial" w:hAnsi="Arial" w:hint="default"/>
      </w:rPr>
    </w:lvl>
    <w:lvl w:ilvl="2" w:tplc="C99889A8" w:tentative="1">
      <w:start w:val="1"/>
      <w:numFmt w:val="bullet"/>
      <w:lvlText w:val="•"/>
      <w:lvlJc w:val="left"/>
      <w:pPr>
        <w:tabs>
          <w:tab w:val="num" w:pos="2160"/>
        </w:tabs>
        <w:ind w:left="2160" w:hanging="360"/>
      </w:pPr>
      <w:rPr>
        <w:rFonts w:ascii="Arial" w:hAnsi="Arial" w:hint="default"/>
      </w:rPr>
    </w:lvl>
    <w:lvl w:ilvl="3" w:tplc="77A45D78" w:tentative="1">
      <w:start w:val="1"/>
      <w:numFmt w:val="bullet"/>
      <w:lvlText w:val="•"/>
      <w:lvlJc w:val="left"/>
      <w:pPr>
        <w:tabs>
          <w:tab w:val="num" w:pos="2880"/>
        </w:tabs>
        <w:ind w:left="2880" w:hanging="360"/>
      </w:pPr>
      <w:rPr>
        <w:rFonts w:ascii="Arial" w:hAnsi="Arial" w:hint="default"/>
      </w:rPr>
    </w:lvl>
    <w:lvl w:ilvl="4" w:tplc="23D4C55A" w:tentative="1">
      <w:start w:val="1"/>
      <w:numFmt w:val="bullet"/>
      <w:lvlText w:val="•"/>
      <w:lvlJc w:val="left"/>
      <w:pPr>
        <w:tabs>
          <w:tab w:val="num" w:pos="3600"/>
        </w:tabs>
        <w:ind w:left="3600" w:hanging="360"/>
      </w:pPr>
      <w:rPr>
        <w:rFonts w:ascii="Arial" w:hAnsi="Arial" w:hint="default"/>
      </w:rPr>
    </w:lvl>
    <w:lvl w:ilvl="5" w:tplc="8BE4206A" w:tentative="1">
      <w:start w:val="1"/>
      <w:numFmt w:val="bullet"/>
      <w:lvlText w:val="•"/>
      <w:lvlJc w:val="left"/>
      <w:pPr>
        <w:tabs>
          <w:tab w:val="num" w:pos="4320"/>
        </w:tabs>
        <w:ind w:left="4320" w:hanging="360"/>
      </w:pPr>
      <w:rPr>
        <w:rFonts w:ascii="Arial" w:hAnsi="Arial" w:hint="default"/>
      </w:rPr>
    </w:lvl>
    <w:lvl w:ilvl="6" w:tplc="E2FC76EE" w:tentative="1">
      <w:start w:val="1"/>
      <w:numFmt w:val="bullet"/>
      <w:lvlText w:val="•"/>
      <w:lvlJc w:val="left"/>
      <w:pPr>
        <w:tabs>
          <w:tab w:val="num" w:pos="5040"/>
        </w:tabs>
        <w:ind w:left="5040" w:hanging="360"/>
      </w:pPr>
      <w:rPr>
        <w:rFonts w:ascii="Arial" w:hAnsi="Arial" w:hint="default"/>
      </w:rPr>
    </w:lvl>
    <w:lvl w:ilvl="7" w:tplc="1B12D13A" w:tentative="1">
      <w:start w:val="1"/>
      <w:numFmt w:val="bullet"/>
      <w:lvlText w:val="•"/>
      <w:lvlJc w:val="left"/>
      <w:pPr>
        <w:tabs>
          <w:tab w:val="num" w:pos="5760"/>
        </w:tabs>
        <w:ind w:left="5760" w:hanging="360"/>
      </w:pPr>
      <w:rPr>
        <w:rFonts w:ascii="Arial" w:hAnsi="Arial" w:hint="default"/>
      </w:rPr>
    </w:lvl>
    <w:lvl w:ilvl="8" w:tplc="5C78DA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416D7F"/>
    <w:multiLevelType w:val="hybridMultilevel"/>
    <w:tmpl w:val="EC8C606A"/>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AB4D0C"/>
    <w:multiLevelType w:val="hybridMultilevel"/>
    <w:tmpl w:val="00B0A9FE"/>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3333E8"/>
    <w:multiLevelType w:val="hybridMultilevel"/>
    <w:tmpl w:val="30C09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1C22D8"/>
    <w:multiLevelType w:val="hybridMultilevel"/>
    <w:tmpl w:val="F07E9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9D7396"/>
    <w:multiLevelType w:val="hybridMultilevel"/>
    <w:tmpl w:val="3C18BE3C"/>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2F4944"/>
    <w:multiLevelType w:val="hybridMultilevel"/>
    <w:tmpl w:val="F078E440"/>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D939FD"/>
    <w:multiLevelType w:val="hybridMultilevel"/>
    <w:tmpl w:val="DB760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7956D6"/>
    <w:multiLevelType w:val="hybridMultilevel"/>
    <w:tmpl w:val="1B828D6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D16152"/>
    <w:multiLevelType w:val="hybridMultilevel"/>
    <w:tmpl w:val="C1F4613C"/>
    <w:lvl w:ilvl="0" w:tplc="8FC63558">
      <w:start w:val="1"/>
      <w:numFmt w:val="bullet"/>
      <w:lvlText w:val="•"/>
      <w:lvlJc w:val="left"/>
      <w:pPr>
        <w:tabs>
          <w:tab w:val="num" w:pos="720"/>
        </w:tabs>
        <w:ind w:left="720" w:hanging="360"/>
      </w:pPr>
      <w:rPr>
        <w:rFonts w:ascii="Arial" w:hAnsi="Arial" w:hint="default"/>
      </w:rPr>
    </w:lvl>
    <w:lvl w:ilvl="1" w:tplc="EF00898E" w:tentative="1">
      <w:start w:val="1"/>
      <w:numFmt w:val="bullet"/>
      <w:lvlText w:val="•"/>
      <w:lvlJc w:val="left"/>
      <w:pPr>
        <w:tabs>
          <w:tab w:val="num" w:pos="1440"/>
        </w:tabs>
        <w:ind w:left="1440" w:hanging="360"/>
      </w:pPr>
      <w:rPr>
        <w:rFonts w:ascii="Arial" w:hAnsi="Arial" w:hint="default"/>
      </w:rPr>
    </w:lvl>
    <w:lvl w:ilvl="2" w:tplc="849CC94E" w:tentative="1">
      <w:start w:val="1"/>
      <w:numFmt w:val="bullet"/>
      <w:lvlText w:val="•"/>
      <w:lvlJc w:val="left"/>
      <w:pPr>
        <w:tabs>
          <w:tab w:val="num" w:pos="2160"/>
        </w:tabs>
        <w:ind w:left="2160" w:hanging="360"/>
      </w:pPr>
      <w:rPr>
        <w:rFonts w:ascii="Arial" w:hAnsi="Arial" w:hint="default"/>
      </w:rPr>
    </w:lvl>
    <w:lvl w:ilvl="3" w:tplc="4BEAE23E" w:tentative="1">
      <w:start w:val="1"/>
      <w:numFmt w:val="bullet"/>
      <w:lvlText w:val="•"/>
      <w:lvlJc w:val="left"/>
      <w:pPr>
        <w:tabs>
          <w:tab w:val="num" w:pos="2880"/>
        </w:tabs>
        <w:ind w:left="2880" w:hanging="360"/>
      </w:pPr>
      <w:rPr>
        <w:rFonts w:ascii="Arial" w:hAnsi="Arial" w:hint="default"/>
      </w:rPr>
    </w:lvl>
    <w:lvl w:ilvl="4" w:tplc="E5581534" w:tentative="1">
      <w:start w:val="1"/>
      <w:numFmt w:val="bullet"/>
      <w:lvlText w:val="•"/>
      <w:lvlJc w:val="left"/>
      <w:pPr>
        <w:tabs>
          <w:tab w:val="num" w:pos="3600"/>
        </w:tabs>
        <w:ind w:left="3600" w:hanging="360"/>
      </w:pPr>
      <w:rPr>
        <w:rFonts w:ascii="Arial" w:hAnsi="Arial" w:hint="default"/>
      </w:rPr>
    </w:lvl>
    <w:lvl w:ilvl="5" w:tplc="E3B2A1EE" w:tentative="1">
      <w:start w:val="1"/>
      <w:numFmt w:val="bullet"/>
      <w:lvlText w:val="•"/>
      <w:lvlJc w:val="left"/>
      <w:pPr>
        <w:tabs>
          <w:tab w:val="num" w:pos="4320"/>
        </w:tabs>
        <w:ind w:left="4320" w:hanging="360"/>
      </w:pPr>
      <w:rPr>
        <w:rFonts w:ascii="Arial" w:hAnsi="Arial" w:hint="default"/>
      </w:rPr>
    </w:lvl>
    <w:lvl w:ilvl="6" w:tplc="A036CB56" w:tentative="1">
      <w:start w:val="1"/>
      <w:numFmt w:val="bullet"/>
      <w:lvlText w:val="•"/>
      <w:lvlJc w:val="left"/>
      <w:pPr>
        <w:tabs>
          <w:tab w:val="num" w:pos="5040"/>
        </w:tabs>
        <w:ind w:left="5040" w:hanging="360"/>
      </w:pPr>
      <w:rPr>
        <w:rFonts w:ascii="Arial" w:hAnsi="Arial" w:hint="default"/>
      </w:rPr>
    </w:lvl>
    <w:lvl w:ilvl="7" w:tplc="28302FF8" w:tentative="1">
      <w:start w:val="1"/>
      <w:numFmt w:val="bullet"/>
      <w:lvlText w:val="•"/>
      <w:lvlJc w:val="left"/>
      <w:pPr>
        <w:tabs>
          <w:tab w:val="num" w:pos="5760"/>
        </w:tabs>
        <w:ind w:left="5760" w:hanging="360"/>
      </w:pPr>
      <w:rPr>
        <w:rFonts w:ascii="Arial" w:hAnsi="Arial" w:hint="default"/>
      </w:rPr>
    </w:lvl>
    <w:lvl w:ilvl="8" w:tplc="85B4E3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6D2A93"/>
    <w:multiLevelType w:val="hybridMultilevel"/>
    <w:tmpl w:val="E9F4D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8C2755"/>
    <w:multiLevelType w:val="hybridMultilevel"/>
    <w:tmpl w:val="3D681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9243B4"/>
    <w:multiLevelType w:val="hybridMultilevel"/>
    <w:tmpl w:val="1A4049B2"/>
    <w:lvl w:ilvl="0" w:tplc="7A547A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A0223A"/>
    <w:multiLevelType w:val="hybridMultilevel"/>
    <w:tmpl w:val="8684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260F65"/>
    <w:multiLevelType w:val="hybridMultilevel"/>
    <w:tmpl w:val="981C0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201A31"/>
    <w:multiLevelType w:val="hybridMultilevel"/>
    <w:tmpl w:val="229E5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C800FAA"/>
    <w:multiLevelType w:val="hybridMultilevel"/>
    <w:tmpl w:val="6F882B16"/>
    <w:lvl w:ilvl="0" w:tplc="04150001">
      <w:start w:val="1"/>
      <w:numFmt w:val="bullet"/>
      <w:lvlText w:val=""/>
      <w:lvlJc w:val="left"/>
      <w:pPr>
        <w:tabs>
          <w:tab w:val="num" w:pos="720"/>
        </w:tabs>
        <w:ind w:left="720" w:hanging="360"/>
      </w:pPr>
      <w:rPr>
        <w:rFonts w:ascii="Symbol" w:hAnsi="Symbol" w:hint="default"/>
      </w:rPr>
    </w:lvl>
    <w:lvl w:ilvl="1" w:tplc="27D681B6" w:tentative="1">
      <w:start w:val="1"/>
      <w:numFmt w:val="bullet"/>
      <w:lvlText w:val=""/>
      <w:lvlJc w:val="left"/>
      <w:pPr>
        <w:tabs>
          <w:tab w:val="num" w:pos="1440"/>
        </w:tabs>
        <w:ind w:left="1440" w:hanging="360"/>
      </w:pPr>
      <w:rPr>
        <w:rFonts w:ascii="Wingdings" w:hAnsi="Wingdings" w:hint="default"/>
      </w:rPr>
    </w:lvl>
    <w:lvl w:ilvl="2" w:tplc="94C002F0" w:tentative="1">
      <w:start w:val="1"/>
      <w:numFmt w:val="bullet"/>
      <w:lvlText w:val=""/>
      <w:lvlJc w:val="left"/>
      <w:pPr>
        <w:tabs>
          <w:tab w:val="num" w:pos="2160"/>
        </w:tabs>
        <w:ind w:left="2160" w:hanging="360"/>
      </w:pPr>
      <w:rPr>
        <w:rFonts w:ascii="Wingdings" w:hAnsi="Wingdings" w:hint="default"/>
      </w:rPr>
    </w:lvl>
    <w:lvl w:ilvl="3" w:tplc="13F05664" w:tentative="1">
      <w:start w:val="1"/>
      <w:numFmt w:val="bullet"/>
      <w:lvlText w:val=""/>
      <w:lvlJc w:val="left"/>
      <w:pPr>
        <w:tabs>
          <w:tab w:val="num" w:pos="2880"/>
        </w:tabs>
        <w:ind w:left="2880" w:hanging="360"/>
      </w:pPr>
      <w:rPr>
        <w:rFonts w:ascii="Wingdings" w:hAnsi="Wingdings" w:hint="default"/>
      </w:rPr>
    </w:lvl>
    <w:lvl w:ilvl="4" w:tplc="9B965902" w:tentative="1">
      <w:start w:val="1"/>
      <w:numFmt w:val="bullet"/>
      <w:lvlText w:val=""/>
      <w:lvlJc w:val="left"/>
      <w:pPr>
        <w:tabs>
          <w:tab w:val="num" w:pos="3600"/>
        </w:tabs>
        <w:ind w:left="3600" w:hanging="360"/>
      </w:pPr>
      <w:rPr>
        <w:rFonts w:ascii="Wingdings" w:hAnsi="Wingdings" w:hint="default"/>
      </w:rPr>
    </w:lvl>
    <w:lvl w:ilvl="5" w:tplc="1294FE24" w:tentative="1">
      <w:start w:val="1"/>
      <w:numFmt w:val="bullet"/>
      <w:lvlText w:val=""/>
      <w:lvlJc w:val="left"/>
      <w:pPr>
        <w:tabs>
          <w:tab w:val="num" w:pos="4320"/>
        </w:tabs>
        <w:ind w:left="4320" w:hanging="360"/>
      </w:pPr>
      <w:rPr>
        <w:rFonts w:ascii="Wingdings" w:hAnsi="Wingdings" w:hint="default"/>
      </w:rPr>
    </w:lvl>
    <w:lvl w:ilvl="6" w:tplc="38661C66" w:tentative="1">
      <w:start w:val="1"/>
      <w:numFmt w:val="bullet"/>
      <w:lvlText w:val=""/>
      <w:lvlJc w:val="left"/>
      <w:pPr>
        <w:tabs>
          <w:tab w:val="num" w:pos="5040"/>
        </w:tabs>
        <w:ind w:left="5040" w:hanging="360"/>
      </w:pPr>
      <w:rPr>
        <w:rFonts w:ascii="Wingdings" w:hAnsi="Wingdings" w:hint="default"/>
      </w:rPr>
    </w:lvl>
    <w:lvl w:ilvl="7" w:tplc="B82018FC" w:tentative="1">
      <w:start w:val="1"/>
      <w:numFmt w:val="bullet"/>
      <w:lvlText w:val=""/>
      <w:lvlJc w:val="left"/>
      <w:pPr>
        <w:tabs>
          <w:tab w:val="num" w:pos="5760"/>
        </w:tabs>
        <w:ind w:left="5760" w:hanging="360"/>
      </w:pPr>
      <w:rPr>
        <w:rFonts w:ascii="Wingdings" w:hAnsi="Wingdings" w:hint="default"/>
      </w:rPr>
    </w:lvl>
    <w:lvl w:ilvl="8" w:tplc="E47892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712E2"/>
    <w:multiLevelType w:val="hybridMultilevel"/>
    <w:tmpl w:val="3B68776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3"/>
  </w:num>
  <w:num w:numId="3">
    <w:abstractNumId w:val="34"/>
  </w:num>
  <w:num w:numId="4">
    <w:abstractNumId w:val="16"/>
  </w:num>
  <w:num w:numId="5">
    <w:abstractNumId w:val="38"/>
  </w:num>
  <w:num w:numId="6">
    <w:abstractNumId w:val="39"/>
  </w:num>
  <w:num w:numId="7">
    <w:abstractNumId w:val="32"/>
  </w:num>
  <w:num w:numId="8">
    <w:abstractNumId w:val="6"/>
  </w:num>
  <w:num w:numId="9">
    <w:abstractNumId w:val="36"/>
  </w:num>
  <w:num w:numId="10">
    <w:abstractNumId w:val="1"/>
  </w:num>
  <w:num w:numId="11">
    <w:abstractNumId w:val="14"/>
  </w:num>
  <w:num w:numId="12">
    <w:abstractNumId w:val="17"/>
  </w:num>
  <w:num w:numId="13">
    <w:abstractNumId w:val="27"/>
  </w:num>
  <w:num w:numId="14">
    <w:abstractNumId w:val="37"/>
  </w:num>
  <w:num w:numId="15">
    <w:abstractNumId w:val="40"/>
  </w:num>
  <w:num w:numId="16">
    <w:abstractNumId w:val="31"/>
  </w:num>
  <w:num w:numId="17">
    <w:abstractNumId w:val="21"/>
  </w:num>
  <w:num w:numId="18">
    <w:abstractNumId w:val="5"/>
  </w:num>
  <w:num w:numId="19">
    <w:abstractNumId w:val="0"/>
  </w:num>
  <w:num w:numId="20">
    <w:abstractNumId w:val="12"/>
  </w:num>
  <w:num w:numId="21">
    <w:abstractNumId w:val="26"/>
  </w:num>
  <w:num w:numId="22">
    <w:abstractNumId w:val="2"/>
  </w:num>
  <w:num w:numId="23">
    <w:abstractNumId w:val="15"/>
  </w:num>
  <w:num w:numId="24">
    <w:abstractNumId w:val="30"/>
  </w:num>
  <w:num w:numId="25">
    <w:abstractNumId w:val="8"/>
  </w:num>
  <w:num w:numId="26">
    <w:abstractNumId w:val="33"/>
  </w:num>
  <w:num w:numId="27">
    <w:abstractNumId w:val="23"/>
  </w:num>
  <w:num w:numId="28">
    <w:abstractNumId w:val="4"/>
  </w:num>
  <w:num w:numId="29">
    <w:abstractNumId w:val="7"/>
  </w:num>
  <w:num w:numId="30">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10"/>
  </w:num>
  <w:num w:numId="32">
    <w:abstractNumId w:val="35"/>
  </w:num>
  <w:num w:numId="33">
    <w:abstractNumId w:val="29"/>
  </w:num>
  <w:num w:numId="34">
    <w:abstractNumId w:val="28"/>
  </w:num>
  <w:num w:numId="35">
    <w:abstractNumId w:val="25"/>
  </w:num>
  <w:num w:numId="36">
    <w:abstractNumId w:val="22"/>
  </w:num>
  <w:num w:numId="37">
    <w:abstractNumId w:val="9"/>
  </w:num>
  <w:num w:numId="38">
    <w:abstractNumId w:val="18"/>
  </w:num>
  <w:num w:numId="39">
    <w:abstractNumId w:val="13"/>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90"/>
    <w:rsid w:val="00093F8B"/>
    <w:rsid w:val="000F2929"/>
    <w:rsid w:val="001A29B8"/>
    <w:rsid w:val="002765FD"/>
    <w:rsid w:val="002A55DC"/>
    <w:rsid w:val="00313C47"/>
    <w:rsid w:val="003535B2"/>
    <w:rsid w:val="005C54A6"/>
    <w:rsid w:val="00766F9C"/>
    <w:rsid w:val="00907485"/>
    <w:rsid w:val="009E32AD"/>
    <w:rsid w:val="00A10DF0"/>
    <w:rsid w:val="00A2348A"/>
    <w:rsid w:val="00A960D5"/>
    <w:rsid w:val="00A970DA"/>
    <w:rsid w:val="00B064BC"/>
    <w:rsid w:val="00B61D0D"/>
    <w:rsid w:val="00B62A68"/>
    <w:rsid w:val="00B92534"/>
    <w:rsid w:val="00B9412D"/>
    <w:rsid w:val="00C36BD1"/>
    <w:rsid w:val="00C43B1B"/>
    <w:rsid w:val="00C4666B"/>
    <w:rsid w:val="00C66264"/>
    <w:rsid w:val="00C92DAB"/>
    <w:rsid w:val="00CD22E8"/>
    <w:rsid w:val="00D01BF7"/>
    <w:rsid w:val="00D756A8"/>
    <w:rsid w:val="00E07E46"/>
    <w:rsid w:val="00E24190"/>
    <w:rsid w:val="00E71DAF"/>
    <w:rsid w:val="00EB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D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C92DAB"/>
    <w:pPr>
      <w:ind w:left="720"/>
      <w:contextualSpacing/>
    </w:pPr>
  </w:style>
  <w:style w:type="character" w:customStyle="1" w:styleId="AkapitzlistZnak">
    <w:name w:val="Akapit z listą Znak"/>
    <w:aliases w:val="Numerowanie Znak"/>
    <w:link w:val="Akapitzlist"/>
    <w:uiPriority w:val="34"/>
    <w:rsid w:val="00C92DAB"/>
  </w:style>
  <w:style w:type="paragraph" w:customStyle="1" w:styleId="TableMedium">
    <w:name w:val="Table_Medium"/>
    <w:basedOn w:val="Normalny"/>
    <w:rsid w:val="00C92DAB"/>
    <w:pPr>
      <w:spacing w:before="40" w:after="40" w:line="240" w:lineRule="auto"/>
    </w:pPr>
    <w:rPr>
      <w:rFonts w:ascii="Arial" w:eastAsia="Times New Roman" w:hAnsi="Arial" w:cs="Times New Roman"/>
      <w:sz w:val="18"/>
      <w:szCs w:val="20"/>
    </w:rPr>
  </w:style>
  <w:style w:type="table" w:styleId="Tabela-Siatka">
    <w:name w:val="Table Grid"/>
    <w:basedOn w:val="Standardowy"/>
    <w:uiPriority w:val="39"/>
    <w:rsid w:val="00C9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92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DAB"/>
  </w:style>
  <w:style w:type="paragraph" w:styleId="Nagwek">
    <w:name w:val="header"/>
    <w:basedOn w:val="Normalny"/>
    <w:link w:val="NagwekZnak"/>
    <w:uiPriority w:val="99"/>
    <w:unhideWhenUsed/>
    <w:rsid w:val="002765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2016-06-02T08:53:00Z</dcterms:created>
  <dcterms:modified xsi:type="dcterms:W3CDTF">2016-06-02T08:59:00Z</dcterms:modified>
</cp:coreProperties>
</file>